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98043.xml.htm"/>
      <w:bookmarkStart w:id="1" w:name="kswkform4_17901980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von Ahn Luis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DUOLINGO,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5900 PENN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Duolingo, Inc.</w:t>
              </w:r>
            </w:hyperlink>
            <w:r>
              <w:rPr/>
              <w:t xml:space="preserve"> [ </w:t>
            </w:r>
            <w:r>
              <w:rPr>
                <w:rFonts w:ascii="Times;serif" w:hAnsi="Times;serif"/>
                <w:color w:val="0000FF"/>
                <w:sz w:val="24"/>
                <w:shd w:fill="FFFFFF" w:val="clear"/>
              </w:rPr>
              <w:t>DUOL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 Co-Founder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27,960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27,960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38.08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37,366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33,257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150.4641</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151.0699</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38.08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3,414</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152.02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80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14.42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12/12/2029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27,960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3,396,080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3,368,120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38.08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9,406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12/02/2030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160,342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9,406</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3,377,526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9,406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3,368,120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38.08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12/02/2030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156,728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3,614</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3,371,734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3,368,120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the Reporting Person's Rule 10b5-1 trading plan adopted on June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calculated by the broker executing the sales. These shares were sold in multiple transactions at prices ranging from $150.00 to $150.99,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calculated by the broker executing the sales. These shares were sold in multiple transactions at prices ranging from $151.00 to $151.36,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share of Class B Common Stock is convertible at any time at the option of the Reporting Person into one share of Class A Common Stock and has no expiration date. Each share of Class B Common Stock will convert automatically into one share of Class A Common Stock in connection with: (i) any transfer, whether or not for value, except for certain permitted transfers further described in the Issuer's amended and restated certificate of incorporation, (ii) such time as the aggregate number of shares of Class B Common Stock outstanding ceases to represent 5% of the aggregate number of shares of Common Stock outstanding, and (iii) the death of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Chen, as Attorney-in-Fact for Luis von Ahn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9259" TargetMode="External"/><Relationship Id="rId5" Type="http://schemas.openxmlformats.org/officeDocument/2006/relationships/hyperlink" Target="http://www.sec.gov/cgi-bin/browse-edgar?action=getcompany&amp;CIK=0001562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1106</Words>
  <Characters>5654</Characters>
  <CharactersWithSpaces>6531</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