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UNITED STATES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Securities Exchange Act of 1934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August 18,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Duolingo,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35" w:type="dxa"/>
        <w:jc w:val="left"/>
        <w:tblInd w:w="0" w:type="dxa"/>
        <w:tblLayout w:type="fixed"/>
        <w:tblCellMar>
          <w:top w:w="28" w:type="dxa"/>
          <w:left w:w="28" w:type="dxa"/>
          <w:bottom w:w="28" w:type="dxa"/>
          <w:right w:w="28" w:type="dxa"/>
        </w:tblCellMar>
      </w:tblPr>
      <w:tblGrid>
        <w:gridCol w:w="929"/>
        <w:gridCol w:w="815"/>
        <w:gridCol w:w="821"/>
        <w:gridCol w:w="449"/>
        <w:gridCol w:w="449"/>
        <w:gridCol w:w="453"/>
        <w:gridCol w:w="648"/>
        <w:gridCol w:w="648"/>
        <w:gridCol w:w="92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001-40653</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45-3055872</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(State or other jurisdiction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of incorporation)</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File Number)</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(IRS Employer</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Identification Number)</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5900 Penn Avenue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Pittsburgh, Pennsylvania 15206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(Address of principal executive offices) (Zip Code)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(412) 567-6602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w:t>
      </w:r>
    </w:p>
    <w:tbl>
      <w:tblPr>
        <w:tblW w:w="85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5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773"/>
        <w:gridCol w:w="1558"/>
        <w:gridCol w:w="1575"/>
        <w:gridCol w:w="348"/>
        <w:gridCol w:w="348"/>
        <w:gridCol w:w="350"/>
        <w:gridCol w:w="1242"/>
        <w:gridCol w:w="1242"/>
        <w:gridCol w:w="1769"/>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Trading</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Symbol(s)</w:t>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Class A common stock, $0.0001 par value per share</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DUOL</w:t>
            </w:r>
          </w:p>
        </w:tc>
        <w:tc>
          <w:tcPr>
            <w:tcW w:w="4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August 18, 2026, during an in-person meeting with certain investors at the Company's offices, 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screen in the meeting room inadvertently displayed information indicating that the DAU growth rate 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17, 2026 was estimated to be 27.4% relative to the comparable day of the prior year and there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had been similar estimated growth rates for the previous days in August.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has not completed its normal review and validation of its preliminary internal data, and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should not be read as indicative of the Company's expected results for Q3 2026 or any future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most recent guidance is set forth in its Q2 2026 shareholder letter dated August 5, 2026.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is not providing any, and does not intend to provide, additional or updated guidance at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Current Report on Form 8-K is being furnished and shall not be deemed “filed” for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purposes of Section 18 of the Securities Exchange Act of 1934, as amended (the “Exchange Act”), 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otherwise subject to the liabilities of that Section, nor shall it be deemed to be incorporated by reference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into any filing of the Company under the Securities Act of 1933, as amended, or the Exchange 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except as expressly set forth by specific reference in such filing.</w:t>
      </w:r>
    </w:p>
    <w:p>
      <w:pPr>
        <w:pStyle w:val="TextBody"/>
        <w:bidi w:val="0"/>
        <w:spacing w:before="0" w:after="12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7844"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1572"/>
        <w:gridCol w:w="1572"/>
        <w:gridCol w:w="222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18,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Gillian Munson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Gillian Munson</w:t>
              <w:br/>
              <w:t>Chief Financial Officer</w:t>
              <w:b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579</Words>
  <Characters>3086</Characters>
  <CharactersWithSpaces>3615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