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Duolingo,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BAILLIE GIFFORD &amp; CO</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2,820,038.00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4,554,894.00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4,554,894.00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Duolingo,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5900 PENN AVE, SECOND FLOOR, PITTSBURGH, PENNSYLVANIA, 15206.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Baillie Gifford &amp; Co</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3 Haymarket Square Edinburgh EH3 8RY Scotland UK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Scotland</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0"/>
              <w:jc w:val="left"/>
              <w:rPr/>
            </w:pPr>
            <w:r>
              <w:rPr/>
              <w:t>Investment Adviser</w:t>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4,554,894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11.28  %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2,820,038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4,554,894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Securities reported on this Schedule 13G as being beneficially owned by Baillie Gifford &amp; Co. are held by Baillie Gifford &amp; Co. and/or one or more of its investment adviser subsidiaries, which may include Baillie Gifford Overseas Limited, on behalf of investment advisory clients, which may include investment companies registered under the Investment Company Act, employee benefit plans, pension funds or other institutional clients.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Item 10.</w:t>
            </w:r>
          </w:p>
        </w:tc>
        <w:tc>
          <w:tcPr>
            <w:tcW w:w="9039" w:type="dxa"/>
            <w:tcBorders/>
            <w:vAlign w:val="center"/>
          </w:tcPr>
          <w:p>
            <w:pPr>
              <w:pStyle w:val="TableContents"/>
              <w:bidi w:val="0"/>
              <w:spacing w:before="0" w:after="283"/>
              <w:jc w:val="left"/>
              <w:rPr/>
            </w:pPr>
            <w:r>
              <w:rPr/>
              <w:t>Certifications:</w:t>
            </w:r>
          </w:p>
        </w:tc>
      </w:tr>
      <w:tr>
        <w:trPr/>
        <w:tc>
          <w:tcPr>
            <w:tcW w:w="1166" w:type="dxa"/>
            <w:tcBorders/>
            <w:vAlign w:val="center"/>
          </w:tcPr>
          <w:p>
            <w:pPr>
              <w:pStyle w:val="TableContents"/>
              <w:bidi w:val="0"/>
              <w:spacing w:before="0" w:after="283"/>
              <w:jc w:val="left"/>
              <w:rPr/>
            </w:pPr>
            <w:r>
              <w:rPr/>
              <w:t> </w:t>
            </w:r>
          </w:p>
        </w:tc>
        <w:tc>
          <w:tcPr>
            <w:tcW w:w="9039"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foreign regulatory scheme applicable to Investment Adviser is substantially comparable to the regulatory scheme applicable to the functionally equivalent U.S. institution(s). I also undertake to furnish to the Commission staff, upon request, information that would otherwise be disclosed in a Schedule 13D.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000" w:type="dxa"/>
        <w:jc w:val="left"/>
        <w:tblInd w:w="0" w:type="dxa"/>
        <w:tblLayout w:type="fixed"/>
        <w:tblCellMar>
          <w:top w:w="28" w:type="dxa"/>
          <w:left w:w="28" w:type="dxa"/>
          <w:bottom w:w="28" w:type="dxa"/>
          <w:right w:w="28" w:type="dxa"/>
        </w:tblCellMar>
      </w:tblPr>
      <w:tblGrid>
        <w:gridCol w:w="3000"/>
        <w:gridCol w:w="3000"/>
      </w:tblGrid>
      <w:tr>
        <w:trPr/>
        <w:tc>
          <w:tcPr>
            <w:tcW w:w="3000" w:type="dxa"/>
            <w:tcBorders/>
            <w:vAlign w:val="center"/>
          </w:tcPr>
          <w:p>
            <w:pPr>
              <w:pStyle w:val="TableContents"/>
              <w:bidi w:val="0"/>
              <w:spacing w:before="0" w:after="0"/>
              <w:jc w:val="left"/>
              <w:rPr/>
            </w:pPr>
            <w:r>
              <w:rPr/>
              <w:t> </w:t>
            </w:r>
          </w:p>
          <w:tbl>
            <w:tblPr>
              <w:tblW w:w="2866" w:type="dxa"/>
              <w:jc w:val="left"/>
              <w:tblInd w:w="0" w:type="dxa"/>
              <w:tblLayout w:type="fixed"/>
              <w:tblCellMar>
                <w:top w:w="28" w:type="dxa"/>
                <w:left w:w="28" w:type="dxa"/>
                <w:bottom w:w="28" w:type="dxa"/>
                <w:right w:w="28" w:type="dxa"/>
              </w:tblCellMar>
            </w:tblPr>
            <w:tblGrid>
              <w:gridCol w:w="2866"/>
            </w:tblGrid>
            <w:tr>
              <w:trPr/>
              <w:tc>
                <w:tcPr>
                  <w:tcW w:w="2866" w:type="dxa"/>
                  <w:tcBorders/>
                  <w:vAlign w:val="center"/>
                </w:tcPr>
                <w:p>
                  <w:pPr>
                    <w:pStyle w:val="TableContents"/>
                    <w:bidi w:val="0"/>
                    <w:spacing w:before="0" w:after="0"/>
                    <w:jc w:val="left"/>
                    <w:rPr/>
                  </w:pPr>
                  <w:r>
                    <w:rPr/>
                    <w:t>BAILLIE GIFFORD &amp; CO</w:t>
                  </w:r>
                </w:p>
              </w:tc>
            </w:tr>
          </w:tbl>
          <w:p>
            <w:pPr>
              <w:pStyle w:val="TableContents"/>
              <w:bidi w:val="0"/>
              <w:spacing w:before="0" w:after="283"/>
              <w:jc w:val="left"/>
              <w:rPr/>
            </w:pPr>
            <w:r>
              <w:rPr/>
            </w:r>
          </w:p>
        </w:tc>
        <w:tc>
          <w:tcPr>
            <w:tcW w:w="3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0"/>
        <w:gridCol w:w="4295"/>
      </w:tblGrid>
      <w:tr>
        <w:trPr/>
        <w:tc>
          <w:tcPr>
            <w:tcW w:w="591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Grant Meikle</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Regulatory Reporting Manager</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10/01/2026</w:t>
                  </w:r>
                </w:p>
              </w:tc>
            </w:tr>
          </w:tbl>
          <w:p>
            <w:pPr>
              <w:pStyle w:val="TableContents"/>
              <w:bidi w:val="0"/>
              <w:spacing w:before="0" w:after="283"/>
              <w:jc w:val="left"/>
              <w:rPr/>
            </w:pPr>
            <w:r>
              <w:rPr/>
            </w:r>
          </w:p>
        </w:tc>
        <w:tc>
          <w:tcPr>
            <w:tcW w:w="429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939</Words>
  <Characters>4876</Characters>
  <CharactersWithSpaces>5805</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