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585298.xml.htm"/>
      <w:bookmarkStart w:id="1" w:name="kswkform4_17715852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Stephen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3"/>
        <w:gridCol w:w="934"/>
        <w:gridCol w:w="801"/>
        <w:gridCol w:w="620"/>
        <w:gridCol w:w="348"/>
        <w:gridCol w:w="784"/>
        <w:gridCol w:w="435"/>
        <w:gridCol w:w="1105"/>
        <w:gridCol w:w="1145"/>
        <w:gridCol w:w="990"/>
        <w:gridCol w:w="94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896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110.06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32,446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821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31,625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113.9504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31,145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114.5519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30,625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30,545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satisfy tax withholding obligations in connection with the vesting of Restricted Stock Units ("RSUs") and delivery of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was effected pursuant to the Reporting Person's Rule 10b5-1 trading plan adopted on May 27,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sale price calculated by the broker executing the sales. These shares were sold in multiple transactions at prices ranging from $111.83 to $112.79,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sale price calculated by the broker executing the sales. These shares were sold in multiple transactions at prices ranging from $113.31 to $114.23,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a weighted average sale price calculated by the broker executing the sales. These shares were sold in multiple transactions at prices ranging from $114.31 to $115.23,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 weighted average sale price calculated by the broker executing the sales. These shares were sold in multiple transactions at prices ranging from $115.47 to $115.52,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C.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9758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970</Words>
  <Characters>5174</Characters>
  <CharactersWithSpaces>6054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